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32"/>
        </w:rPr>
      </w:pPr>
    </w:p>
    <w:p>
      <w:pPr>
        <w:spacing w:line="500" w:lineRule="exact"/>
        <w:jc w:val="center"/>
        <w:rPr>
          <w:rFonts w:ascii="黑体" w:hAnsi="黑体" w:eastAsia="黑体"/>
          <w:sz w:val="32"/>
          <w:szCs w:val="32"/>
        </w:rPr>
      </w:pPr>
    </w:p>
    <w:p>
      <w:pPr>
        <w:spacing w:line="500" w:lineRule="exact"/>
        <w:jc w:val="center"/>
        <w:rPr>
          <w:rFonts w:ascii="黑体" w:hAnsi="黑体" w:eastAsia="黑体"/>
          <w:sz w:val="32"/>
          <w:szCs w:val="32"/>
        </w:rPr>
      </w:pPr>
    </w:p>
    <w:p>
      <w:pPr>
        <w:spacing w:line="960" w:lineRule="exact"/>
        <w:jc w:val="center"/>
        <w:rPr>
          <w:rFonts w:ascii="华文中宋" w:hAnsi="华文中宋" w:eastAsia="华文中宋"/>
          <w:b/>
          <w:color w:val="FF0000"/>
          <w:sz w:val="72"/>
          <w:szCs w:val="72"/>
        </w:rPr>
      </w:pPr>
      <w:r>
        <w:rPr>
          <w:rFonts w:hint="eastAsia" w:ascii="华文中宋" w:hAnsi="华文中宋" w:eastAsia="华文中宋"/>
          <w:b/>
          <w:color w:val="FF0000"/>
          <w:sz w:val="72"/>
          <w:szCs w:val="72"/>
        </w:rPr>
        <w:t xml:space="preserve"> 中共河北科技师范学院</w:t>
      </w:r>
    </w:p>
    <w:p>
      <w:pPr>
        <w:spacing w:line="960" w:lineRule="exact"/>
        <w:jc w:val="center"/>
        <w:rPr>
          <w:rFonts w:ascii="华文中宋" w:hAnsi="华文中宋" w:eastAsia="华文中宋"/>
          <w:b/>
          <w:color w:val="FF0000"/>
          <w:sz w:val="72"/>
          <w:szCs w:val="72"/>
        </w:rPr>
      </w:pPr>
      <w:r>
        <w:rPr>
          <w:rFonts w:hint="eastAsia" w:ascii="华文中宋" w:hAnsi="华文中宋" w:eastAsia="华文中宋"/>
          <w:b/>
          <w:color w:val="FF0000"/>
          <w:sz w:val="72"/>
          <w:szCs w:val="72"/>
        </w:rPr>
        <w:t xml:space="preserve"> 园艺科技学院委员会文件</w:t>
      </w:r>
    </w:p>
    <w:p>
      <w:pPr>
        <w:spacing w:line="500" w:lineRule="exact"/>
        <w:jc w:val="center"/>
        <w:rPr>
          <w:rFonts w:ascii="黑体" w:hAnsi="黑体" w:eastAsia="黑体"/>
          <w:sz w:val="32"/>
          <w:szCs w:val="32"/>
        </w:rPr>
      </w:pPr>
    </w:p>
    <w:p>
      <w:pPr>
        <w:spacing w:line="440" w:lineRule="exact"/>
        <w:jc w:val="center"/>
        <w:rPr>
          <w:rFonts w:hint="eastAsia" w:ascii="仿宋" w:hAnsi="仿宋" w:eastAsia="仿宋"/>
          <w:b/>
          <w:sz w:val="28"/>
          <w:szCs w:val="28"/>
        </w:rPr>
      </w:pPr>
      <w:r>
        <w:rPr>
          <w:rFonts w:hint="eastAsia" w:ascii="仿宋" w:hAnsi="仿宋" w:eastAsia="仿宋"/>
          <w:b/>
          <w:sz w:val="28"/>
          <w:szCs w:val="28"/>
          <w:lang w:val="en-US" w:eastAsia="zh-CN"/>
        </w:rPr>
        <w:t>党办字［2017］3号</w:t>
      </w:r>
    </w:p>
    <w:tbl>
      <w:tblPr>
        <w:tblStyle w:val="9"/>
        <w:tblpPr w:leftFromText="180" w:rightFromText="180" w:vertAnchor="text" w:horzAnchor="page" w:tblpX="7078" w:tblpY="247"/>
        <w:tblW w:w="3721" w:type="dxa"/>
        <w:tblInd w:w="0" w:type="dxa"/>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
      <w:tblGrid>
        <w:gridCol w:w="3721"/>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91" w:hRule="atLeast"/>
        </w:trPr>
        <w:tc>
          <w:tcPr>
            <w:tcW w:w="3721" w:type="dxa"/>
            <w:tcBorders>
              <w:top w:val="nil"/>
              <w:left w:val="nil"/>
              <w:right w:val="nil"/>
            </w:tcBorders>
          </w:tcPr>
          <w:p>
            <w:pPr>
              <w:spacing w:line="440" w:lineRule="exact"/>
              <w:jc w:val="left"/>
              <w:rPr>
                <w:rFonts w:ascii="黑体" w:hAnsi="黑体" w:eastAsia="黑体"/>
                <w:sz w:val="32"/>
                <w:szCs w:val="32"/>
              </w:rPr>
            </w:pPr>
          </w:p>
        </w:tc>
      </w:tr>
    </w:tbl>
    <w:p>
      <w:pPr>
        <w:spacing w:line="440" w:lineRule="exact"/>
        <w:jc w:val="both"/>
        <w:rPr>
          <w:rFonts w:hint="eastAsia" w:ascii="仿宋" w:hAnsi="仿宋" w:eastAsia="仿宋"/>
          <w:b/>
          <w:sz w:val="28"/>
          <w:szCs w:val="28"/>
          <w:lang w:val="en-US" w:eastAsia="zh-CN"/>
        </w:rPr>
      </w:pPr>
    </w:p>
    <w:tbl>
      <w:tblPr>
        <w:tblStyle w:val="9"/>
        <w:tblpPr w:leftFromText="180" w:rightFromText="180" w:vertAnchor="text" w:tblpX="169" w:tblpY="211"/>
        <w:tblW w:w="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4140" w:type="dxa"/>
            <w:tcBorders>
              <w:top w:val="single" w:color="FF0000" w:sz="12" w:space="0"/>
              <w:left w:val="nil"/>
              <w:bottom w:val="nil"/>
              <w:right w:val="nil"/>
            </w:tcBorders>
          </w:tcPr>
          <w:p>
            <w:pPr>
              <w:spacing w:line="440" w:lineRule="exact"/>
              <w:jc w:val="left"/>
              <w:rPr>
                <w:rFonts w:ascii="黑体" w:hAnsi="黑体" w:eastAsia="黑体"/>
                <w:sz w:val="32"/>
                <w:szCs w:val="32"/>
              </w:rPr>
            </w:pPr>
          </w:p>
        </w:tc>
      </w:tr>
    </w:tbl>
    <w:p>
      <w:pPr>
        <w:spacing w:line="440" w:lineRule="exact"/>
        <w:jc w:val="left"/>
        <w:rPr>
          <w:rFonts w:hint="eastAsia" w:ascii="黑体" w:hAnsi="黑体" w:eastAsia="黑体"/>
          <w:sz w:val="32"/>
          <w:szCs w:val="32"/>
        </w:rPr>
      </w:pPr>
      <w:r>
        <w:rPr>
          <w:rFonts w:ascii="黑体" w:hAnsi="黑体" w:eastAsia="黑体"/>
          <w:sz w:val="32"/>
          <w:szCs w:val="32"/>
        </w:rPr>
        <w:softHyphen/>
      </w:r>
      <w:r>
        <w:rPr>
          <w:rFonts w:hint="eastAsia" w:ascii="黑体" w:hAnsi="黑体" w:eastAsia="黑体"/>
          <w:sz w:val="32"/>
          <w:szCs w:val="32"/>
        </w:rPr>
        <w:softHyphen/>
      </w:r>
      <w:r>
        <w:rPr>
          <w:rFonts w:hint="eastAsia" w:ascii="黑体" w:hAnsi="黑体" w:eastAsia="黑体"/>
          <w:sz w:val="32"/>
          <w:szCs w:val="32"/>
        </w:rPr>
        <w:softHyphen/>
      </w:r>
      <w:r>
        <w:rPr>
          <w:rFonts w:hint="eastAsia" w:ascii="黑体" w:hAnsi="黑体" w:eastAsia="黑体"/>
          <w:sz w:val="32"/>
          <w:szCs w:val="32"/>
        </w:rPr>
        <w:softHyphen/>
      </w:r>
      <w:r>
        <w:rPr>
          <w:rFonts w:hint="eastAsia" w:ascii="黑体" w:hAnsi="黑体" w:eastAsia="黑体"/>
          <w:sz w:val="32"/>
          <w:szCs w:val="32"/>
        </w:rPr>
        <w:softHyphen/>
      </w:r>
      <w:r>
        <w:rPr>
          <w:rFonts w:ascii="黑体" w:hAnsi="黑体" w:eastAsia="黑体"/>
          <w:sz w:val="32"/>
          <w:szCs w:val="32"/>
        </w:rPr>
        <w:softHyphen/>
      </w:r>
      <w:r>
        <w:rPr>
          <w:rFonts w:hint="eastAsia" w:ascii="黑体" w:hAnsi="黑体" w:eastAsia="黑体"/>
          <w:sz w:val="32"/>
          <w:szCs w:val="32"/>
        </w:rPr>
        <w:softHyphen/>
      </w:r>
      <w:r>
        <w:rPr>
          <w:rFonts w:ascii="黑体" w:hAnsi="黑体" w:eastAsia="黑体"/>
          <w:sz w:val="32"/>
          <w:szCs w:val="32"/>
        </w:rPr>
        <w:softHyphen/>
      </w:r>
      <w:r>
        <w:rPr>
          <w:rFonts w:hint="eastAsia" w:ascii="黑体" w:hAnsi="黑体" w:eastAsia="黑体"/>
          <w:sz w:val="32"/>
          <w:szCs w:val="32"/>
        </w:rPr>
        <w:softHyphen/>
      </w:r>
      <w:r>
        <w:rPr>
          <w:rFonts w:hint="eastAsia" w:ascii="黑体" w:hAnsi="黑体" w:eastAsia="黑体"/>
          <w:sz w:val="32"/>
          <w:szCs w:val="32"/>
        </w:rPr>
        <w:softHyphen/>
      </w:r>
      <w:r>
        <w:rPr>
          <w:rFonts w:hint="eastAsia" w:ascii="黑体" w:hAnsi="黑体" w:eastAsia="黑体"/>
          <w:sz w:val="32"/>
          <w:szCs w:val="32"/>
        </w:rPr>
        <w:t xml:space="preserve"> </w:t>
      </w:r>
      <w:r>
        <w:rPr>
          <w:rFonts w:hint="eastAsia" w:ascii="黑体" w:hAnsi="黑体" w:eastAsia="黑体"/>
          <w:color w:val="FF0000"/>
          <w:sz w:val="32"/>
          <w:szCs w:val="32"/>
        </w:rPr>
        <w:t>★</w:t>
      </w:r>
      <w:r>
        <w:rPr>
          <w:rFonts w:hint="eastAsia" w:ascii="黑体" w:hAnsi="黑体" w:eastAsia="黑体"/>
          <w:sz w:val="32"/>
          <w:szCs w:val="32"/>
        </w:rPr>
        <w:t xml:space="preserve"> </w:t>
      </w:r>
    </w:p>
    <w:p>
      <w:pPr>
        <w:spacing w:line="560" w:lineRule="exact"/>
        <w:jc w:val="center"/>
        <w:rPr>
          <w:rFonts w:hint="eastAsia" w:ascii="黑体" w:hAnsi="黑体" w:eastAsia="黑体"/>
          <w:spacing w:val="17"/>
          <w:sz w:val="32"/>
          <w:szCs w:val="32"/>
        </w:rPr>
      </w:pPr>
    </w:p>
    <w:p>
      <w:pPr>
        <w:spacing w:line="560" w:lineRule="exact"/>
        <w:jc w:val="center"/>
        <w:rPr>
          <w:rFonts w:ascii="黑体" w:hAnsi="黑体" w:eastAsia="黑体"/>
          <w:spacing w:val="17"/>
          <w:sz w:val="32"/>
          <w:szCs w:val="32"/>
        </w:rPr>
      </w:pPr>
      <w:r>
        <w:rPr>
          <w:rFonts w:hint="eastAsia" w:ascii="黑体" w:hAnsi="黑体" w:eastAsia="黑体"/>
          <w:spacing w:val="17"/>
          <w:sz w:val="32"/>
          <w:szCs w:val="32"/>
        </w:rPr>
        <w:t>2017年理论学习中心组学习计划</w:t>
      </w:r>
    </w:p>
    <w:p>
      <w:pPr>
        <w:spacing w:line="560" w:lineRule="exact"/>
        <w:jc w:val="center"/>
        <w:rPr>
          <w:rFonts w:hint="eastAsia" w:ascii="仿宋_GB2312" w:eastAsia="仿宋_GB2312"/>
          <w:b/>
          <w:sz w:val="32"/>
          <w:szCs w:val="32"/>
        </w:rPr>
      </w:pPr>
    </w:p>
    <w:p>
      <w:pPr>
        <w:spacing w:line="560" w:lineRule="exact"/>
        <w:rPr>
          <w:rFonts w:hint="eastAsia" w:ascii="仿宋_GB2312" w:eastAsia="仿宋_GB2312"/>
          <w:sz w:val="28"/>
          <w:szCs w:val="28"/>
        </w:rPr>
      </w:pPr>
      <w:r>
        <w:rPr>
          <w:rFonts w:hint="eastAsia" w:ascii="仿宋_GB2312" w:eastAsia="仿宋_GB2312"/>
          <w:sz w:val="32"/>
          <w:szCs w:val="32"/>
        </w:rPr>
        <w:t xml:space="preserve">    </w:t>
      </w:r>
      <w:r>
        <w:rPr>
          <w:rFonts w:hint="eastAsia" w:ascii="仿宋_GB2312" w:eastAsia="仿宋_GB2312"/>
          <w:sz w:val="28"/>
          <w:szCs w:val="28"/>
        </w:rPr>
        <w:t>为适应新形势对高校理论武装工作的新要求，进一步推进学习型党组织建设，不断提升院班子成员和领导干部的理论素养、决策水</w:t>
      </w:r>
      <w:bookmarkStart w:id="0" w:name="_GoBack"/>
      <w:bookmarkEnd w:id="0"/>
      <w:r>
        <w:rPr>
          <w:rFonts w:hint="eastAsia" w:ascii="仿宋_GB2312" w:eastAsia="仿宋_GB2312"/>
          <w:sz w:val="28"/>
          <w:szCs w:val="28"/>
        </w:rPr>
        <w:t>平和工作能力，根据中央印发的《中国共产党党委（党组）理论学习中心组学习规则》（中办发〔2017〕9号）,按照校党委的部署，结合我院工作实际，现就2017年党委中心组理论学习作如下计划。</w:t>
      </w:r>
    </w:p>
    <w:p>
      <w:pPr>
        <w:spacing w:line="560" w:lineRule="exact"/>
        <w:ind w:firstLine="640"/>
        <w:rPr>
          <w:rFonts w:hint="eastAsia" w:ascii="黑体" w:hAnsi="黑体" w:eastAsia="黑体" w:cs="黑体"/>
          <w:sz w:val="28"/>
          <w:szCs w:val="28"/>
        </w:rPr>
      </w:pPr>
      <w:r>
        <w:rPr>
          <w:rFonts w:hint="eastAsia" w:ascii="黑体" w:hAnsi="黑体" w:eastAsia="黑体" w:cs="黑体"/>
          <w:sz w:val="28"/>
          <w:szCs w:val="28"/>
        </w:rPr>
        <w:t>一、总体要求</w:t>
      </w:r>
    </w:p>
    <w:p>
      <w:pPr>
        <w:spacing w:line="560" w:lineRule="exact"/>
        <w:ind w:firstLine="640"/>
        <w:rPr>
          <w:rFonts w:hint="eastAsia" w:ascii="仿宋_GB2312" w:eastAsia="仿宋_GB2312"/>
          <w:sz w:val="28"/>
          <w:szCs w:val="28"/>
        </w:rPr>
      </w:pPr>
      <w:r>
        <w:rPr>
          <w:rFonts w:hint="eastAsia" w:ascii="仿宋_GB2312" w:eastAsia="仿宋_GB2312"/>
          <w:sz w:val="28"/>
          <w:szCs w:val="28"/>
        </w:rPr>
        <w:t>以中国特色社会主义理论体系为指导，深入学习贯彻习近平总书记系列重要讲话精神，全面贯彻全国和全省高校思想政治工作会议精神，紧紧围绕立德树人的根本任务和学校应用型大学建设发展需要，强化思想理论武装，牢固树立理想信念，切实巩固马克思主义在学校意识形态领域的指导地位，坚持全面从严治党，深入开展“两学一做”学习教育，为我院更好更快发展奠定坚实的理论基础。</w:t>
      </w:r>
    </w:p>
    <w:p>
      <w:pPr>
        <w:spacing w:line="560" w:lineRule="exact"/>
        <w:ind w:firstLine="640"/>
        <w:rPr>
          <w:rFonts w:hint="eastAsia" w:ascii="黑体" w:hAnsi="黑体" w:eastAsia="黑体" w:cs="黑体"/>
          <w:sz w:val="28"/>
          <w:szCs w:val="28"/>
        </w:rPr>
      </w:pPr>
      <w:r>
        <w:rPr>
          <w:rFonts w:hint="eastAsia" w:ascii="黑体" w:hAnsi="黑体" w:eastAsia="黑体" w:cs="黑体"/>
          <w:sz w:val="28"/>
          <w:szCs w:val="28"/>
        </w:rPr>
        <w:t>二、学习研讨专题</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一专题：深入学习贯彻党的十八届六中全会精神，认真学习党章党规，严肃党内政治生活，强化党内监督，全面加强党风廉政建设，深入学习《关于新形势下党内政治生活的若干准则》和《中国共产党党内监督条例》，严守政治纪律、政治规矩，严格落实党风廉政建设主体责任和监督责任。</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二专题：学习习近平总书记系列重要讲话精神，特别是习近平总书记在全国高校思想政治工作会议上的重要讲话精神,不断推进“两学一做”，深入思考如何强基固本，不断强化思想和作风建设；深入思考如何不忘初心，永葆党的先进性、纯洁性；思考如何坚持好立德树人根本任务，为中国特色社会主义事业培养德智体美全面发展的合格建设者和可靠接班人；深入思考如何扎实推进“两学一做”学习教育，学以致用，推动我校应用型大学建设和各项事业发展。</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第三专题：深入学习马克思主义基本原理，系统掌握马克思主义立场观点方法，不断提高马克思主义思想理论觉悟和理论水平，突出理想信念教育，强化党性原则，保持定力，不忘初心。</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四专题：深入学习贯彻中央和省委关于意识形态工作的部署要求，深刻认识意识形态工作的极端重要性，准确把握意识形态工作的新形势新特点，坚定不移地贯彻落实党委意识形态工作责任制，牢牢掌握意识形态工作领导权、管理权、话语权，扎实做好意识形态领域各项工作。</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第五专题：贯彻“五大发展理念”，以新理念引领新的实践，推动我校事业发展上台阶。</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第六专题：进一步加强领导干部作风建设，扎实推进学校党风廉政建设和反腐败工作，进一步营造风清气正、干事创业的良好政治生态。</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第七专题：学习贯彻新修订的《教育法》和《高等教育法》，全面提升我校依法治教能力和水平。</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第八专题：积极培育和践行社会主义核心价值观，加强校园文化建设。</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第九专题：深入学习领会党的十九大提出的重大战略思想、重大理论观点和重大工作部署，自觉把思想和行动统一到党的十九大精神上来。</w:t>
      </w:r>
    </w:p>
    <w:p>
      <w:pPr>
        <w:spacing w:line="560" w:lineRule="exact"/>
        <w:ind w:firstLine="640"/>
        <w:rPr>
          <w:rFonts w:hint="eastAsia" w:ascii="仿宋_GB2312" w:eastAsia="仿宋_GB2312"/>
          <w:sz w:val="28"/>
          <w:szCs w:val="28"/>
        </w:rPr>
      </w:pPr>
      <w:r>
        <w:rPr>
          <w:rFonts w:hint="eastAsia" w:ascii="仿宋_GB2312" w:eastAsia="仿宋_GB2312"/>
          <w:sz w:val="28"/>
          <w:szCs w:val="28"/>
        </w:rPr>
        <w:t>第十专题:认真学习《中国共产党党委（党组）理论学习中心组学习规则》、《关于县以上党和国家机关党员领导干部民主生活会的若干规定》。</w:t>
      </w:r>
    </w:p>
    <w:p>
      <w:pPr>
        <w:spacing w:line="560" w:lineRule="exact"/>
        <w:rPr>
          <w:rFonts w:hint="eastAsia" w:ascii="黑体" w:hAnsi="黑体" w:eastAsia="黑体" w:cs="黑体"/>
          <w:sz w:val="28"/>
          <w:szCs w:val="28"/>
        </w:rPr>
      </w:pPr>
      <w:r>
        <w:rPr>
          <w:rFonts w:hint="eastAsia" w:ascii="仿宋_GB2312" w:eastAsia="仿宋_GB2312"/>
          <w:sz w:val="28"/>
          <w:szCs w:val="28"/>
        </w:rPr>
        <w:t xml:space="preserve">    </w:t>
      </w:r>
      <w:r>
        <w:rPr>
          <w:rFonts w:hint="eastAsia" w:ascii="黑体" w:hAnsi="黑体" w:eastAsia="黑体" w:cs="黑体"/>
          <w:sz w:val="28"/>
          <w:szCs w:val="28"/>
        </w:rPr>
        <w:t>三、学习形式和时间安排</w:t>
      </w:r>
    </w:p>
    <w:p>
      <w:pPr>
        <w:spacing w:line="560" w:lineRule="exact"/>
        <w:rPr>
          <w:rFonts w:hint="eastAsia" w:ascii="仿宋_GB2312" w:eastAsia="仿宋_GB2312"/>
          <w:sz w:val="28"/>
          <w:szCs w:val="28"/>
        </w:rPr>
      </w:pPr>
      <w:r>
        <w:rPr>
          <w:rFonts w:hint="eastAsia" w:ascii="仿宋_GB2312" w:eastAsia="仿宋_GB2312"/>
          <w:sz w:val="28"/>
          <w:szCs w:val="28"/>
        </w:rPr>
        <w:t xml:space="preserve">    以学习原文为主，以集中学习、专题研讨、宣讲报告、个人自学等形式为主，以参观考察、调查研究、观看影像资料等形式为辅。中心组集中学习每月至少安排一次，每月至少安排一个专题，重点学习内容将贯穿全年安排。</w:t>
      </w:r>
    </w:p>
    <w:p>
      <w:pPr>
        <w:spacing w:line="560" w:lineRule="exact"/>
        <w:rPr>
          <w:rFonts w:hint="eastAsia" w:ascii="黑体" w:hAnsi="黑体" w:eastAsia="黑体" w:cs="黑体"/>
          <w:sz w:val="28"/>
          <w:szCs w:val="28"/>
        </w:rPr>
      </w:pPr>
      <w:r>
        <w:rPr>
          <w:rFonts w:hint="eastAsia" w:ascii="仿宋_GB2312" w:eastAsia="仿宋_GB2312"/>
          <w:sz w:val="28"/>
          <w:szCs w:val="28"/>
        </w:rPr>
        <w:t xml:space="preserve">    </w:t>
      </w:r>
      <w:r>
        <w:rPr>
          <w:rFonts w:hint="eastAsia" w:ascii="黑体" w:hAnsi="黑体" w:eastAsia="黑体" w:cs="黑体"/>
          <w:sz w:val="28"/>
          <w:szCs w:val="28"/>
        </w:rPr>
        <w:t>四、学习要求</w:t>
      </w:r>
    </w:p>
    <w:p>
      <w:pPr>
        <w:spacing w:line="560" w:lineRule="exact"/>
        <w:rPr>
          <w:rFonts w:hint="eastAsia" w:ascii="仿宋_GB2312" w:eastAsia="仿宋_GB2312"/>
          <w:sz w:val="28"/>
          <w:szCs w:val="28"/>
        </w:rPr>
      </w:pPr>
      <w:r>
        <w:rPr>
          <w:rFonts w:hint="eastAsia" w:ascii="仿宋_GB2312" w:eastAsia="仿宋_GB2312"/>
          <w:sz w:val="28"/>
          <w:szCs w:val="28"/>
        </w:rPr>
        <w:t xml:space="preserve">   （一）增强学习主动性、自觉性。党员领导干部发挥好带头示范作用，把提高理论素质与增强党性修养、提升工作本领结合起来。</w:t>
      </w:r>
    </w:p>
    <w:p>
      <w:pPr>
        <w:spacing w:line="560" w:lineRule="exact"/>
        <w:rPr>
          <w:rFonts w:hint="eastAsia" w:ascii="仿宋_GB2312" w:eastAsia="仿宋_GB2312"/>
          <w:sz w:val="28"/>
          <w:szCs w:val="28"/>
        </w:rPr>
      </w:pPr>
      <w:r>
        <w:rPr>
          <w:rFonts w:hint="eastAsia" w:ascii="仿宋_GB2312" w:eastAsia="仿宋_GB2312"/>
          <w:sz w:val="28"/>
          <w:szCs w:val="28"/>
        </w:rPr>
        <w:t xml:space="preserve">   （二）坚持学以致用、学用结合。努力掌握马克思主义立场、观点、方法，学以致用，用以促学、学用相长，把学习成果转化为有效的政治举措。</w:t>
      </w:r>
    </w:p>
    <w:p>
      <w:pPr>
        <w:spacing w:line="560" w:lineRule="exact"/>
        <w:rPr>
          <w:rFonts w:hint="eastAsia" w:ascii="仿宋_GB2312" w:eastAsia="仿宋_GB2312"/>
          <w:sz w:val="28"/>
          <w:szCs w:val="28"/>
        </w:rPr>
      </w:pPr>
      <w:r>
        <w:rPr>
          <w:rFonts w:hint="eastAsia" w:ascii="仿宋_GB2312" w:eastAsia="仿宋_GB2312"/>
          <w:sz w:val="28"/>
          <w:szCs w:val="28"/>
        </w:rPr>
        <w:t xml:space="preserve">   （三）创新方法手段。根据学习内容及实际情况，不断创新学习方式方法，不断扩大学习的覆盖面和参与度。</w:t>
      </w:r>
    </w:p>
    <w:p>
      <w:pPr>
        <w:spacing w:line="560" w:lineRule="exact"/>
        <w:rPr>
          <w:rFonts w:hint="eastAsia" w:ascii="仿宋_GB2312" w:eastAsia="仿宋_GB2312"/>
          <w:sz w:val="28"/>
          <w:szCs w:val="28"/>
        </w:rPr>
      </w:pPr>
      <w:r>
        <w:rPr>
          <w:rFonts w:hint="eastAsia" w:ascii="仿宋_GB2312" w:eastAsia="仿宋_GB2312"/>
          <w:sz w:val="28"/>
          <w:szCs w:val="28"/>
        </w:rPr>
        <w:t xml:space="preserve">  </w:t>
      </w:r>
    </w:p>
    <w:p>
      <w:pPr>
        <w:spacing w:line="560" w:lineRule="exact"/>
        <w:jc w:val="center"/>
        <w:rPr>
          <w:rFonts w:hint="eastAsia" w:ascii="仿宋_GB2312" w:eastAsia="仿宋_GB2312"/>
          <w:sz w:val="28"/>
          <w:szCs w:val="28"/>
        </w:rPr>
      </w:pPr>
    </w:p>
    <w:p>
      <w:pPr>
        <w:spacing w:line="560" w:lineRule="exact"/>
        <w:jc w:val="center"/>
        <w:rPr>
          <w:rFonts w:hint="eastAsia" w:ascii="仿宋_GB2312" w:hAnsi="仿宋_GB2312" w:eastAsia="仿宋_GB2312" w:cs="仿宋_GB2312"/>
          <w:kern w:val="0"/>
          <w:sz w:val="28"/>
          <w:szCs w:val="28"/>
        </w:rPr>
      </w:pPr>
      <w:r>
        <w:rPr>
          <w:rFonts w:hint="eastAsia" w:ascii="仿宋_GB2312" w:eastAsia="仿宋_GB2312"/>
          <w:sz w:val="28"/>
          <w:szCs w:val="28"/>
        </w:rPr>
        <w:t xml:space="preserve">                                       2017年3月25日</w:t>
      </w:r>
    </w:p>
    <w:p>
      <w:pPr>
        <w:rPr>
          <w:rFonts w:hint="eastAsia" w:ascii="黑体" w:hAnsi="黑体" w:eastAsia="黑体"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9E"/>
    <w:rsid w:val="00057DC4"/>
    <w:rsid w:val="002C2A36"/>
    <w:rsid w:val="003045CA"/>
    <w:rsid w:val="00EB1D9E"/>
    <w:rsid w:val="26B72669"/>
    <w:rsid w:val="43250890"/>
    <w:rsid w:val="556E2AF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7">
    <w:name w:val="page number"/>
    <w:basedOn w:val="6"/>
    <w:unhideWhenUsed/>
    <w:uiPriority w:val="99"/>
  </w:style>
  <w:style w:type="character" w:styleId="8">
    <w:name w:val="Emphasis"/>
    <w:basedOn w:val="6"/>
    <w:qFormat/>
    <w:uiPriority w:val="20"/>
    <w:rPr>
      <w:color w:val="CC0000"/>
    </w:rPr>
  </w:style>
  <w:style w:type="paragraph" w:customStyle="1" w:styleId="10">
    <w:name w:val="_Style 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Microsoft中国</Company>
  <Pages>1</Pages>
  <Words>7</Words>
  <Characters>42</Characters>
  <Lines>1</Lines>
  <Paragraphs>1</Paragraphs>
  <ScaleCrop>false</ScaleCrop>
  <LinksUpToDate>false</LinksUpToDate>
  <CharactersWithSpaces>48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2015-11-04T02:13:00Z</dcterms:created>
  <dc:creator>LX</dc:creator>
  <cp:lastModifiedBy>Administrator</cp:lastModifiedBy>
  <dcterms:modified xsi:type="dcterms:W3CDTF">2017-04-05T07:27:00Z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